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A42424" w14:textId="77777777" w:rsidR="00282F97" w:rsidRDefault="00282F97" w:rsidP="00282F97">
      <w:pPr>
        <w:jc w:val="center"/>
        <w:rPr>
          <w:lang w:val="en-US"/>
        </w:rPr>
      </w:pPr>
      <w:bookmarkStart w:id="0" w:name="_GoBack"/>
      <w:bookmarkEnd w:id="0"/>
    </w:p>
    <w:p w14:paraId="2795BD43" w14:textId="77777777" w:rsidR="00282F97" w:rsidRDefault="00282F97" w:rsidP="00282F97">
      <w:pPr>
        <w:jc w:val="center"/>
        <w:rPr>
          <w:lang w:val="en-US"/>
        </w:rPr>
      </w:pPr>
    </w:p>
    <w:p w14:paraId="7951B22B" w14:textId="77777777" w:rsidR="00282F97" w:rsidRDefault="00282F97" w:rsidP="00282F97">
      <w:pPr>
        <w:jc w:val="center"/>
        <w:rPr>
          <w:lang w:val="en-US"/>
        </w:rPr>
      </w:pPr>
    </w:p>
    <w:p w14:paraId="32E7A6F5" w14:textId="77777777" w:rsidR="00282F97" w:rsidRDefault="00282F97" w:rsidP="00282F97">
      <w:pPr>
        <w:jc w:val="center"/>
        <w:rPr>
          <w:lang w:val="en-US"/>
        </w:rPr>
      </w:pPr>
    </w:p>
    <w:p w14:paraId="2B1E22C2" w14:textId="77777777" w:rsidR="00282F97" w:rsidRDefault="00282F97" w:rsidP="00282F97">
      <w:pPr>
        <w:jc w:val="center"/>
        <w:rPr>
          <w:lang w:val="en-US"/>
        </w:rPr>
      </w:pPr>
    </w:p>
    <w:p w14:paraId="2A691FBD" w14:textId="77777777" w:rsidR="00282F97" w:rsidRDefault="00282F97" w:rsidP="00282F97">
      <w:pPr>
        <w:jc w:val="center"/>
        <w:rPr>
          <w:lang w:val="en-US"/>
        </w:rPr>
      </w:pPr>
    </w:p>
    <w:p w14:paraId="1A690875" w14:textId="77777777" w:rsidR="00282F97" w:rsidRDefault="00282F97" w:rsidP="00282F97">
      <w:pPr>
        <w:jc w:val="center"/>
        <w:rPr>
          <w:lang w:val="en-US"/>
        </w:rPr>
      </w:pPr>
    </w:p>
    <w:p w14:paraId="32B95590" w14:textId="77777777" w:rsidR="00282F97" w:rsidRDefault="00282F97" w:rsidP="00282F97">
      <w:pPr>
        <w:jc w:val="center"/>
        <w:rPr>
          <w:lang w:val="en-US"/>
        </w:rPr>
      </w:pPr>
    </w:p>
    <w:p w14:paraId="2208810E" w14:textId="77777777" w:rsidR="00282F97" w:rsidRDefault="00282F97" w:rsidP="00282F97">
      <w:pPr>
        <w:jc w:val="center"/>
        <w:rPr>
          <w:lang w:val="en-US"/>
        </w:rPr>
      </w:pPr>
    </w:p>
    <w:p w14:paraId="61168696" w14:textId="77777777" w:rsidR="00282F97" w:rsidRDefault="00282F97" w:rsidP="00282F97">
      <w:pPr>
        <w:jc w:val="center"/>
        <w:rPr>
          <w:lang w:val="en-US"/>
        </w:rPr>
      </w:pPr>
    </w:p>
    <w:p w14:paraId="0CF2B24F" w14:textId="77777777" w:rsidR="00282F97" w:rsidRDefault="00282F97" w:rsidP="00282F97">
      <w:pPr>
        <w:jc w:val="center"/>
        <w:rPr>
          <w:lang w:val="en-US"/>
        </w:rPr>
      </w:pPr>
    </w:p>
    <w:p w14:paraId="40629223" w14:textId="77777777" w:rsidR="00282F97" w:rsidRDefault="00282F97" w:rsidP="00282F97">
      <w:pPr>
        <w:jc w:val="center"/>
        <w:rPr>
          <w:lang w:val="en-US"/>
        </w:rPr>
      </w:pPr>
    </w:p>
    <w:p w14:paraId="608D7D9A" w14:textId="77777777" w:rsidR="00282F97" w:rsidRDefault="00282F97" w:rsidP="00282F97">
      <w:pPr>
        <w:jc w:val="center"/>
        <w:rPr>
          <w:lang w:val="en-US"/>
        </w:rPr>
      </w:pPr>
    </w:p>
    <w:p w14:paraId="0FF451F4" w14:textId="77777777" w:rsidR="00282F97" w:rsidRDefault="00282F97" w:rsidP="00282F97">
      <w:pPr>
        <w:jc w:val="center"/>
        <w:rPr>
          <w:lang w:val="en-US"/>
        </w:rPr>
      </w:pPr>
    </w:p>
    <w:p w14:paraId="4C485F5E" w14:textId="52F1591B" w:rsidR="00282F97" w:rsidRDefault="009F0000" w:rsidP="00282F97">
      <w:pPr>
        <w:jc w:val="center"/>
        <w:rPr>
          <w:lang w:val="en-US"/>
        </w:rPr>
      </w:pPr>
      <w:r w:rsidRPr="00282F97">
        <w:rPr>
          <w:lang w:val="en-US"/>
        </w:rPr>
        <w:t>Vicarious Trauma</w:t>
      </w:r>
    </w:p>
    <w:p w14:paraId="007C00ED" w14:textId="1F594B71" w:rsidR="00282F97" w:rsidRDefault="009F0000" w:rsidP="00282F97">
      <w:pPr>
        <w:jc w:val="center"/>
        <w:rPr>
          <w:lang w:val="en-US"/>
        </w:rPr>
      </w:pPr>
      <w:r>
        <w:rPr>
          <w:lang w:val="en-US"/>
        </w:rPr>
        <w:t>Name</w:t>
      </w:r>
    </w:p>
    <w:p w14:paraId="560C1C83" w14:textId="2AF8BBC2" w:rsidR="00282F97" w:rsidRDefault="009F0000" w:rsidP="00282F97">
      <w:pPr>
        <w:jc w:val="center"/>
        <w:rPr>
          <w:lang w:val="en-US"/>
        </w:rPr>
      </w:pPr>
      <w:r>
        <w:rPr>
          <w:lang w:val="en-US"/>
        </w:rPr>
        <w:t>Institution</w:t>
      </w:r>
    </w:p>
    <w:p w14:paraId="2347CB35" w14:textId="144B7FE8" w:rsidR="00282F97" w:rsidRDefault="00282F97" w:rsidP="00282F97">
      <w:pPr>
        <w:jc w:val="center"/>
        <w:rPr>
          <w:lang w:val="en-US"/>
        </w:rPr>
      </w:pPr>
    </w:p>
    <w:p w14:paraId="2F769DFB" w14:textId="74977096" w:rsidR="00282F97" w:rsidRDefault="00282F97" w:rsidP="00282F97">
      <w:pPr>
        <w:jc w:val="center"/>
        <w:rPr>
          <w:lang w:val="en-US"/>
        </w:rPr>
      </w:pPr>
    </w:p>
    <w:p w14:paraId="70C7127D" w14:textId="201D4A1C" w:rsidR="00282F97" w:rsidRDefault="00282F97" w:rsidP="00282F97">
      <w:pPr>
        <w:jc w:val="center"/>
        <w:rPr>
          <w:lang w:val="en-US"/>
        </w:rPr>
      </w:pPr>
    </w:p>
    <w:p w14:paraId="1EB0E206" w14:textId="02DBCF75" w:rsidR="00282F97" w:rsidRDefault="00282F97" w:rsidP="00282F97">
      <w:pPr>
        <w:jc w:val="center"/>
        <w:rPr>
          <w:lang w:val="en-US"/>
        </w:rPr>
      </w:pPr>
    </w:p>
    <w:p w14:paraId="45B275B9" w14:textId="6A5B1937" w:rsidR="00282F97" w:rsidRDefault="00282F97" w:rsidP="00282F97">
      <w:pPr>
        <w:jc w:val="center"/>
        <w:rPr>
          <w:lang w:val="en-US"/>
        </w:rPr>
      </w:pPr>
    </w:p>
    <w:p w14:paraId="43E3501C" w14:textId="0285290D" w:rsidR="00282F97" w:rsidRDefault="00282F97" w:rsidP="00282F97">
      <w:pPr>
        <w:jc w:val="center"/>
        <w:rPr>
          <w:lang w:val="en-US"/>
        </w:rPr>
      </w:pPr>
    </w:p>
    <w:p w14:paraId="49849A42" w14:textId="7F1EBB34" w:rsidR="00282F97" w:rsidRDefault="00282F97" w:rsidP="00282F97">
      <w:pPr>
        <w:jc w:val="center"/>
        <w:rPr>
          <w:lang w:val="en-US"/>
        </w:rPr>
      </w:pPr>
    </w:p>
    <w:p w14:paraId="5900B9F1" w14:textId="0BEA3CBA" w:rsidR="00282F97" w:rsidRDefault="00282F97" w:rsidP="00282F97">
      <w:pPr>
        <w:jc w:val="center"/>
        <w:rPr>
          <w:lang w:val="en-US"/>
        </w:rPr>
      </w:pPr>
    </w:p>
    <w:p w14:paraId="34286DCF" w14:textId="0E09678F" w:rsidR="00282F97" w:rsidRDefault="00282F97" w:rsidP="00282F97">
      <w:pPr>
        <w:jc w:val="center"/>
        <w:rPr>
          <w:lang w:val="en-US"/>
        </w:rPr>
      </w:pPr>
    </w:p>
    <w:p w14:paraId="19D685C2" w14:textId="55D62EC7" w:rsidR="00282F97" w:rsidRDefault="00282F97" w:rsidP="00282F97">
      <w:pPr>
        <w:jc w:val="center"/>
        <w:rPr>
          <w:lang w:val="en-US"/>
        </w:rPr>
      </w:pPr>
    </w:p>
    <w:p w14:paraId="14CD7731" w14:textId="29623FAF" w:rsidR="00282F97" w:rsidRDefault="00282F97" w:rsidP="00282F97">
      <w:pPr>
        <w:jc w:val="center"/>
        <w:rPr>
          <w:lang w:val="en-US"/>
        </w:rPr>
      </w:pPr>
    </w:p>
    <w:p w14:paraId="3931EED9" w14:textId="77777777" w:rsidR="00282F97" w:rsidRDefault="00282F97" w:rsidP="00282F97">
      <w:pPr>
        <w:jc w:val="center"/>
        <w:rPr>
          <w:lang w:val="en-US"/>
        </w:rPr>
      </w:pPr>
    </w:p>
    <w:p w14:paraId="6118A0B3" w14:textId="77777777" w:rsidR="00282F97" w:rsidRDefault="00282F97">
      <w:pPr>
        <w:rPr>
          <w:lang w:val="en-US"/>
        </w:rPr>
      </w:pPr>
    </w:p>
    <w:p w14:paraId="564B52F6" w14:textId="5609AD40" w:rsidR="003A72A7" w:rsidRDefault="009F0000" w:rsidP="00BE6A97">
      <w:pPr>
        <w:spacing w:line="480" w:lineRule="auto"/>
        <w:ind w:firstLine="720"/>
        <w:jc w:val="both"/>
        <w:rPr>
          <w:lang w:val="en-US"/>
        </w:rPr>
      </w:pPr>
      <w:r>
        <w:rPr>
          <w:lang w:val="en-US"/>
        </w:rPr>
        <w:lastRenderedPageBreak/>
        <w:t>Vicarious trauma, burnout, and counter-transference are workplace occurrences, although related to different actions. There is a significant need to understand essential changes which occur within the workplace and influence the ability of individuals to work effectively. High level of commitment within the workplace provides a detailed understanding of different activities. Therefore there is a need to outline essential aspects which can limit the overall ability to maintain better outcomes based on client interaction. Understanding the differences and similarities outline important concepts which help identify their occurrences and how to prevent them.</w:t>
      </w:r>
    </w:p>
    <w:p w14:paraId="7BCC1870" w14:textId="05D118C2" w:rsidR="00282F97" w:rsidRDefault="009F0000" w:rsidP="00BE6A97">
      <w:pPr>
        <w:spacing w:line="480" w:lineRule="auto"/>
        <w:jc w:val="both"/>
        <w:rPr>
          <w:lang w:val="en-US"/>
        </w:rPr>
      </w:pPr>
      <w:r w:rsidRPr="00282F97">
        <w:rPr>
          <w:lang w:val="en-US"/>
        </w:rPr>
        <w:t>Explain the similarities and differences between vicarious trauma and burnout</w:t>
      </w:r>
    </w:p>
    <w:p w14:paraId="0E00B7E1" w14:textId="3DBAEA0A" w:rsidR="00F302E8" w:rsidRPr="00BE6A97" w:rsidRDefault="009F0000" w:rsidP="00BE6A97">
      <w:pPr>
        <w:spacing w:line="480" w:lineRule="auto"/>
        <w:ind w:firstLine="720"/>
        <w:jc w:val="both"/>
        <w:rPr>
          <w:lang w:val="en-US"/>
        </w:rPr>
      </w:pPr>
      <w:r>
        <w:rPr>
          <w:lang w:val="en-US"/>
        </w:rPr>
        <w:t>Vicarious</w:t>
      </w:r>
      <w:r w:rsidR="00D43A35">
        <w:rPr>
          <w:lang w:val="en-US"/>
        </w:rPr>
        <w:t xml:space="preserve"> trauma is an emotional connection that occurs when an individual is exposed to traumatic experiences of other people through hearing their stories. Vicarious trauma means that an individual is not directly involved in the trauma situation, but there is a second-hand experience through the client's stories or witnessing their agony</w:t>
      </w:r>
      <w:r>
        <w:rPr>
          <w:lang w:val="en-US"/>
        </w:rPr>
        <w:t>. The development of vicarious trauma limits the ability of a  counselor or a healthcare provider from offering quality healthcare due to distorted clinical judgment. Burnout is the extreme end of compassion fatigue, which is developed as a result of an individual ability to care for their clients continuously with little rest</w:t>
      </w:r>
      <w:r w:rsidR="00BE6A97">
        <w:rPr>
          <w:lang w:val="en-US"/>
        </w:rPr>
        <w:t xml:space="preserve"> (</w:t>
      </w:r>
      <w:r w:rsidR="00BE6A97" w:rsidRPr="00BE6A97">
        <w:t>Hernandez-Wolfe</w:t>
      </w:r>
      <w:r w:rsidR="00BE6A97">
        <w:rPr>
          <w:lang w:val="en-US"/>
        </w:rPr>
        <w:t xml:space="preserve"> et al., 2015).</w:t>
      </w:r>
    </w:p>
    <w:p w14:paraId="6D987C7C" w14:textId="3273B2FE" w:rsidR="00F302E8" w:rsidRDefault="009F0000" w:rsidP="00BE6A97">
      <w:pPr>
        <w:spacing w:line="480" w:lineRule="auto"/>
        <w:jc w:val="both"/>
        <w:rPr>
          <w:lang w:val="en-US"/>
        </w:rPr>
      </w:pPr>
      <w:r>
        <w:rPr>
          <w:lang w:val="en-US"/>
        </w:rPr>
        <w:t xml:space="preserve">Similarities </w:t>
      </w:r>
    </w:p>
    <w:p w14:paraId="244CE478" w14:textId="1E78BECF" w:rsidR="00D43A35" w:rsidRDefault="009F0000" w:rsidP="00BE6A97">
      <w:pPr>
        <w:spacing w:line="480" w:lineRule="auto"/>
        <w:ind w:firstLine="720"/>
        <w:jc w:val="both"/>
        <w:rPr>
          <w:lang w:val="en-US"/>
        </w:rPr>
      </w:pPr>
      <w:r>
        <w:rPr>
          <w:lang w:val="en-US"/>
        </w:rPr>
        <w:t xml:space="preserve"> Vicarious trauma can lead to burnout. The symptoms occur over a certain period making it difficult for an individual to control their actions hence unable to offer quality care based on the underlying issues.</w:t>
      </w:r>
      <w:r w:rsidR="00F302E8">
        <w:rPr>
          <w:lang w:val="en-US"/>
        </w:rPr>
        <w:t xml:space="preserve"> Both burnout and vicarious trauma result in challenging to perform the required responsibilities</w:t>
      </w:r>
      <w:r w:rsidR="007F3F3F">
        <w:rPr>
          <w:lang w:val="en-US"/>
        </w:rPr>
        <w:t>.</w:t>
      </w:r>
    </w:p>
    <w:p w14:paraId="6DD7CCA6" w14:textId="618C773B" w:rsidR="007F3F3F" w:rsidRDefault="009F0000" w:rsidP="00BE6A97">
      <w:pPr>
        <w:spacing w:line="480" w:lineRule="auto"/>
        <w:jc w:val="both"/>
        <w:rPr>
          <w:lang w:val="en-US"/>
        </w:rPr>
      </w:pPr>
      <w:r w:rsidRPr="007F3F3F">
        <w:rPr>
          <w:lang w:val="en-US"/>
        </w:rPr>
        <w:t>Explain the similarities and differences between vicarious trauma and counter-transference</w:t>
      </w:r>
    </w:p>
    <w:p w14:paraId="64C6FCE8" w14:textId="602658C5" w:rsidR="007F3F3F" w:rsidRDefault="009F0000" w:rsidP="00BE6A97">
      <w:pPr>
        <w:spacing w:line="480" w:lineRule="auto"/>
        <w:ind w:firstLine="720"/>
        <w:jc w:val="both"/>
        <w:rPr>
          <w:lang w:val="en-US"/>
        </w:rPr>
      </w:pPr>
      <w:r>
        <w:rPr>
          <w:lang w:val="en-US"/>
        </w:rPr>
        <w:lastRenderedPageBreak/>
        <w:t>Counter-transference occurs when a therapist transfers his or her emotions</w:t>
      </w:r>
      <w:r w:rsidR="00990684">
        <w:rPr>
          <w:lang w:val="en-US"/>
        </w:rPr>
        <w:t xml:space="preserve"> to a client. The therapists, in this case, fail to adhere to the underlying therapy rules which govern the relationship between the therapist and the client.</w:t>
      </w:r>
      <w:r w:rsidR="00D10DAD">
        <w:rPr>
          <w:lang w:val="en-US"/>
        </w:rPr>
        <w:t xml:space="preserve"> Countertransference is similar to vicarious trauma, considering that the interaction with clients influences the emotions exhibited by the therapists. The therapists are unable to control the impact of information received, which in turn has a negative influence on their ability to perform their tasks successfully</w:t>
      </w:r>
      <w:r w:rsidR="00BE6A97">
        <w:rPr>
          <w:lang w:val="en-US"/>
        </w:rPr>
        <w:t xml:space="preserve"> (</w:t>
      </w:r>
      <w:r w:rsidR="00BE6A97" w:rsidRPr="00BE6A97">
        <w:t>Newell</w:t>
      </w:r>
      <w:r w:rsidR="00BE6A97">
        <w:rPr>
          <w:lang w:val="en-US"/>
        </w:rPr>
        <w:t xml:space="preserve"> et al., 2016). I</w:t>
      </w:r>
      <w:r w:rsidR="00D10DAD">
        <w:rPr>
          <w:lang w:val="en-US"/>
        </w:rPr>
        <w:t>n a Contemporary society, the therapist makes a distinction between helpful and unhelpful counter-transferences, considering that hel</w:t>
      </w:r>
      <w:r w:rsidR="000B7085">
        <w:rPr>
          <w:lang w:val="en-US"/>
        </w:rPr>
        <w:t>p</w:t>
      </w:r>
      <w:r w:rsidR="00D10DAD">
        <w:rPr>
          <w:lang w:val="en-US"/>
        </w:rPr>
        <w:t xml:space="preserve">ful counter-transferences are essential in making better </w:t>
      </w:r>
      <w:r w:rsidR="000B7085">
        <w:rPr>
          <w:lang w:val="en-US"/>
        </w:rPr>
        <w:t>interventions that can help a client. Understanding the different existing experiences help individual to learn how to approach various issues. Psychological needs are crucial, especially in a situation where clients are suffering from trauma.</w:t>
      </w:r>
    </w:p>
    <w:p w14:paraId="12D4FE37" w14:textId="18107761" w:rsidR="000B7085" w:rsidRDefault="009F0000" w:rsidP="00BE6A97">
      <w:pPr>
        <w:spacing w:line="480" w:lineRule="auto"/>
        <w:jc w:val="both"/>
        <w:rPr>
          <w:lang w:val="en-US"/>
        </w:rPr>
      </w:pPr>
      <w:r w:rsidRPr="000B7085">
        <w:rPr>
          <w:lang w:val="en-US"/>
        </w:rPr>
        <w:t>Explain two implications vicarious trauma might have on the counseling process. Be specific.</w:t>
      </w:r>
    </w:p>
    <w:p w14:paraId="07658368" w14:textId="6F8B14C4" w:rsidR="000B7085" w:rsidRDefault="009F0000" w:rsidP="00BE6A97">
      <w:pPr>
        <w:spacing w:line="480" w:lineRule="auto"/>
        <w:ind w:firstLine="720"/>
        <w:jc w:val="both"/>
        <w:rPr>
          <w:lang w:val="en-US"/>
        </w:rPr>
      </w:pPr>
      <w:r>
        <w:rPr>
          <w:lang w:val="en-US"/>
        </w:rPr>
        <w:t xml:space="preserve">Vicarious trauma has a direct influence on the counseling process, considering that </w:t>
      </w:r>
      <w:r w:rsidR="00CF248E">
        <w:rPr>
          <w:lang w:val="en-US"/>
        </w:rPr>
        <w:t>it influences the ability of a counselor to offer quality responses based on the underlying changes. Vicarious liability has a negative influence on counselors clinical judgment. Clinical judgment informs the counselor decision making based on practical evaluation of the underlying situation and makes informed decisions.</w:t>
      </w:r>
    </w:p>
    <w:p w14:paraId="45A88775" w14:textId="6D0A1095" w:rsidR="00CF248E" w:rsidRDefault="009F0000" w:rsidP="00BE6A97">
      <w:pPr>
        <w:spacing w:line="480" w:lineRule="auto"/>
        <w:ind w:firstLine="720"/>
        <w:jc w:val="both"/>
        <w:rPr>
          <w:lang w:val="en-US"/>
        </w:rPr>
      </w:pPr>
      <w:r>
        <w:rPr>
          <w:lang w:val="en-US"/>
        </w:rPr>
        <w:t>Vicarious trauma also leads to a negative relationship that exists between counselors and their clients.  A client can trust a therapist who they feel understand their predicaments and ready to offer a solution. Vicarious trauma has a detrimental influence on counselor wellbeing, where they feel unable to listen or oversee similar experience based on how they are emotionally affected</w:t>
      </w:r>
      <w:r w:rsidR="00BE6A97">
        <w:rPr>
          <w:lang w:val="en-US"/>
        </w:rPr>
        <w:t xml:space="preserve"> (</w:t>
      </w:r>
      <w:r w:rsidR="00BE6A97" w:rsidRPr="00BE6A97">
        <w:t>Katz &amp; Johnson, 2016). </w:t>
      </w:r>
    </w:p>
    <w:p w14:paraId="2BDBFEAA" w14:textId="021011E0" w:rsidR="00CF248E" w:rsidRDefault="009F0000" w:rsidP="00BE6A97">
      <w:pPr>
        <w:spacing w:line="480" w:lineRule="auto"/>
        <w:jc w:val="both"/>
        <w:rPr>
          <w:lang w:val="en-US"/>
        </w:rPr>
      </w:pPr>
      <w:r w:rsidRPr="00CF248E">
        <w:rPr>
          <w:lang w:val="en-US"/>
        </w:rPr>
        <w:t>Explain one insight you had or conclusion you drew for each comparison. Be specific.</w:t>
      </w:r>
    </w:p>
    <w:p w14:paraId="3D8A620B" w14:textId="362B2169" w:rsidR="00CF248E" w:rsidRPr="00CF248E" w:rsidRDefault="009F0000" w:rsidP="00BE6A97">
      <w:pPr>
        <w:spacing w:line="480" w:lineRule="auto"/>
        <w:jc w:val="both"/>
        <w:rPr>
          <w:lang w:val="en-US"/>
        </w:rPr>
      </w:pPr>
      <w:r>
        <w:rPr>
          <w:lang w:val="en-US"/>
        </w:rPr>
        <w:lastRenderedPageBreak/>
        <w:t xml:space="preserve"> </w:t>
      </w:r>
      <w:r w:rsidR="00BE6A97">
        <w:rPr>
          <w:lang w:val="en-US"/>
        </w:rPr>
        <w:tab/>
      </w:r>
      <w:r>
        <w:rPr>
          <w:lang w:val="en-US"/>
        </w:rPr>
        <w:t xml:space="preserve">Thus from the comparison, I have concluded that vicarious trauma and counter-transference lead to burnout because a therapist is emotionally drained and unable to continue. These aspects are crucial and provide a unique emphasis </w:t>
      </w:r>
      <w:r w:rsidR="00282F97">
        <w:rPr>
          <w:lang w:val="en-US"/>
        </w:rPr>
        <w:t>on the need to outline essential changes which limit the ability to an individual to offer quality services. The inability to establish a strong barrier between a therapist personal and professional engagement is a significant factor that leads to emotional influence.</w:t>
      </w:r>
    </w:p>
    <w:p w14:paraId="6E3934B1" w14:textId="77777777" w:rsidR="000B7085" w:rsidRDefault="000B7085" w:rsidP="007F3F3F">
      <w:pPr>
        <w:rPr>
          <w:lang w:val="en-US"/>
        </w:rPr>
      </w:pPr>
    </w:p>
    <w:p w14:paraId="31BC9EEB" w14:textId="77777777" w:rsidR="000B7085" w:rsidRDefault="000B7085" w:rsidP="007F3F3F">
      <w:pPr>
        <w:rPr>
          <w:lang w:val="en-US"/>
        </w:rPr>
      </w:pPr>
    </w:p>
    <w:p w14:paraId="7F23F255" w14:textId="77777777" w:rsidR="000B7085" w:rsidRDefault="000B7085" w:rsidP="007F3F3F">
      <w:pPr>
        <w:rPr>
          <w:lang w:val="en-US"/>
        </w:rPr>
      </w:pPr>
    </w:p>
    <w:p w14:paraId="7AC28ADA" w14:textId="77777777" w:rsidR="00D10DAD" w:rsidRDefault="00D10DAD" w:rsidP="007F3F3F">
      <w:pPr>
        <w:rPr>
          <w:lang w:val="en-US"/>
        </w:rPr>
      </w:pPr>
    </w:p>
    <w:p w14:paraId="19BD9191" w14:textId="188615FC" w:rsidR="007F3F3F" w:rsidRDefault="007F3F3F" w:rsidP="007F3F3F">
      <w:pPr>
        <w:rPr>
          <w:lang w:val="en-US"/>
        </w:rPr>
      </w:pPr>
    </w:p>
    <w:p w14:paraId="61393791" w14:textId="77777777" w:rsidR="00BE6A97" w:rsidRDefault="00BE6A97" w:rsidP="007F3F3F">
      <w:pPr>
        <w:rPr>
          <w:lang w:val="en-US"/>
        </w:rPr>
      </w:pPr>
    </w:p>
    <w:p w14:paraId="3A4B71C8" w14:textId="77777777" w:rsidR="00BE6A97" w:rsidRDefault="00BE6A97" w:rsidP="007F3F3F">
      <w:pPr>
        <w:rPr>
          <w:lang w:val="en-US"/>
        </w:rPr>
      </w:pPr>
    </w:p>
    <w:p w14:paraId="1C29954F" w14:textId="77777777" w:rsidR="00BE6A97" w:rsidRDefault="00BE6A97" w:rsidP="007F3F3F">
      <w:pPr>
        <w:rPr>
          <w:lang w:val="en-US"/>
        </w:rPr>
      </w:pPr>
    </w:p>
    <w:p w14:paraId="167BFCD8" w14:textId="77777777" w:rsidR="00BE6A97" w:rsidRDefault="00BE6A97" w:rsidP="007F3F3F">
      <w:pPr>
        <w:rPr>
          <w:lang w:val="en-US"/>
        </w:rPr>
      </w:pPr>
    </w:p>
    <w:p w14:paraId="61416127" w14:textId="77777777" w:rsidR="00BE6A97" w:rsidRDefault="00BE6A97" w:rsidP="007F3F3F">
      <w:pPr>
        <w:rPr>
          <w:lang w:val="en-US"/>
        </w:rPr>
      </w:pPr>
    </w:p>
    <w:p w14:paraId="3BB0DDCC" w14:textId="77777777" w:rsidR="00BE6A97" w:rsidRDefault="00BE6A97" w:rsidP="007F3F3F">
      <w:pPr>
        <w:rPr>
          <w:lang w:val="en-US"/>
        </w:rPr>
      </w:pPr>
    </w:p>
    <w:p w14:paraId="409A778B" w14:textId="77777777" w:rsidR="00BE6A97" w:rsidRDefault="00BE6A97" w:rsidP="007F3F3F">
      <w:pPr>
        <w:rPr>
          <w:lang w:val="en-US"/>
        </w:rPr>
      </w:pPr>
    </w:p>
    <w:p w14:paraId="0254F988" w14:textId="77777777" w:rsidR="00BE6A97" w:rsidRDefault="00BE6A97" w:rsidP="007F3F3F">
      <w:pPr>
        <w:rPr>
          <w:lang w:val="en-US"/>
        </w:rPr>
      </w:pPr>
    </w:p>
    <w:p w14:paraId="34CBF663" w14:textId="77777777" w:rsidR="00BE6A97" w:rsidRDefault="00BE6A97" w:rsidP="007F3F3F">
      <w:pPr>
        <w:rPr>
          <w:lang w:val="en-US"/>
        </w:rPr>
      </w:pPr>
    </w:p>
    <w:p w14:paraId="23C3F043" w14:textId="77777777" w:rsidR="00BE6A97" w:rsidRDefault="00BE6A97" w:rsidP="007F3F3F">
      <w:pPr>
        <w:rPr>
          <w:lang w:val="en-US"/>
        </w:rPr>
      </w:pPr>
    </w:p>
    <w:p w14:paraId="2428D720" w14:textId="77777777" w:rsidR="00BE6A97" w:rsidRDefault="00BE6A97" w:rsidP="007F3F3F">
      <w:pPr>
        <w:rPr>
          <w:lang w:val="en-US"/>
        </w:rPr>
      </w:pPr>
    </w:p>
    <w:p w14:paraId="7D77B486" w14:textId="77777777" w:rsidR="00BE6A97" w:rsidRDefault="00BE6A97" w:rsidP="007F3F3F">
      <w:pPr>
        <w:rPr>
          <w:lang w:val="en-US"/>
        </w:rPr>
      </w:pPr>
    </w:p>
    <w:p w14:paraId="0C2B3D60" w14:textId="77777777" w:rsidR="00BE6A97" w:rsidRDefault="00BE6A97" w:rsidP="007F3F3F">
      <w:pPr>
        <w:rPr>
          <w:lang w:val="en-US"/>
        </w:rPr>
      </w:pPr>
    </w:p>
    <w:p w14:paraId="75C9B605" w14:textId="77777777" w:rsidR="00BE6A97" w:rsidRDefault="00BE6A97" w:rsidP="007F3F3F">
      <w:pPr>
        <w:rPr>
          <w:lang w:val="en-US"/>
        </w:rPr>
      </w:pPr>
    </w:p>
    <w:p w14:paraId="297B40E0" w14:textId="77777777" w:rsidR="00BE6A97" w:rsidRDefault="00BE6A97" w:rsidP="007F3F3F">
      <w:pPr>
        <w:rPr>
          <w:lang w:val="en-US"/>
        </w:rPr>
      </w:pPr>
    </w:p>
    <w:p w14:paraId="2E4C54FE" w14:textId="77777777" w:rsidR="00BE6A97" w:rsidRDefault="00BE6A97" w:rsidP="007F3F3F">
      <w:pPr>
        <w:rPr>
          <w:lang w:val="en-US"/>
        </w:rPr>
      </w:pPr>
    </w:p>
    <w:p w14:paraId="66F4119C" w14:textId="77777777" w:rsidR="00BE6A97" w:rsidRDefault="00BE6A97" w:rsidP="007F3F3F">
      <w:pPr>
        <w:rPr>
          <w:lang w:val="en-US"/>
        </w:rPr>
      </w:pPr>
    </w:p>
    <w:p w14:paraId="0D365CB7" w14:textId="77777777" w:rsidR="00BE6A97" w:rsidRDefault="00BE6A97" w:rsidP="007F3F3F">
      <w:pPr>
        <w:rPr>
          <w:lang w:val="en-US"/>
        </w:rPr>
      </w:pPr>
    </w:p>
    <w:p w14:paraId="6B0621C3" w14:textId="798F806A" w:rsidR="007F3F3F" w:rsidRDefault="009F0000" w:rsidP="00BE6A97">
      <w:pPr>
        <w:jc w:val="center"/>
        <w:rPr>
          <w:lang w:val="en-US"/>
        </w:rPr>
      </w:pPr>
      <w:r>
        <w:rPr>
          <w:lang w:val="en-US"/>
        </w:rPr>
        <w:lastRenderedPageBreak/>
        <w:t>References</w:t>
      </w:r>
    </w:p>
    <w:p w14:paraId="50EE81E7" w14:textId="77777777" w:rsidR="00BE6A97" w:rsidRDefault="009F0000" w:rsidP="00BE6A97">
      <w:pPr>
        <w:spacing w:line="480" w:lineRule="auto"/>
        <w:ind w:left="720" w:hanging="720"/>
      </w:pPr>
      <w:r w:rsidRPr="00BE6A97">
        <w:t>Hernandez-Wolfe, P., Killian, K., Engstrom, D., &amp; Gangsei, D. (2015). Vicarious resilience, vicarious trauma, and awareness of equity in trauma work. </w:t>
      </w:r>
      <w:r w:rsidRPr="00BE6A97">
        <w:rPr>
          <w:i/>
          <w:iCs/>
        </w:rPr>
        <w:t>Journal of Humanistic Psychology</w:t>
      </w:r>
      <w:r w:rsidRPr="00BE6A97">
        <w:t>, </w:t>
      </w:r>
      <w:r w:rsidRPr="00BE6A97">
        <w:rPr>
          <w:i/>
          <w:iCs/>
        </w:rPr>
        <w:t>55</w:t>
      </w:r>
      <w:r w:rsidRPr="00BE6A97">
        <w:t>(2), 153-172.</w:t>
      </w:r>
    </w:p>
    <w:p w14:paraId="68FA4C83" w14:textId="77777777" w:rsidR="00BE6A97" w:rsidRDefault="009F0000" w:rsidP="00BE6A97">
      <w:pPr>
        <w:spacing w:line="480" w:lineRule="auto"/>
        <w:ind w:left="720" w:hanging="720"/>
      </w:pPr>
      <w:r w:rsidRPr="00BE6A97">
        <w:t>Katz, R. S., &amp; Johnson, T. A. (Eds.). (2016). </w:t>
      </w:r>
      <w:r w:rsidRPr="00BE6A97">
        <w:rPr>
          <w:i/>
          <w:iCs/>
        </w:rPr>
        <w:t>When professionals weep: Emotional and countertransference responses in palliative and end-of-life care</w:t>
      </w:r>
      <w:r w:rsidRPr="00BE6A97">
        <w:t>. Routledge.</w:t>
      </w:r>
    </w:p>
    <w:p w14:paraId="6556365F" w14:textId="77777777" w:rsidR="00BE6A97" w:rsidRPr="007F3F3F" w:rsidRDefault="009F0000" w:rsidP="00BE6A97">
      <w:pPr>
        <w:spacing w:line="480" w:lineRule="auto"/>
        <w:ind w:left="720" w:hanging="720"/>
        <w:rPr>
          <w:lang w:val="en-US"/>
        </w:rPr>
      </w:pPr>
      <w:r w:rsidRPr="00BE6A97">
        <w:t>Newell, J. M., Nelson-Gardell, D., &amp; MacNeil, G. (2016). Clinician responses to client traumas: A chronological review of constructs and terminology. </w:t>
      </w:r>
      <w:r w:rsidRPr="00BE6A97">
        <w:rPr>
          <w:i/>
          <w:iCs/>
        </w:rPr>
        <w:t>Trauma, Violence, &amp; Abuse</w:t>
      </w:r>
      <w:r w:rsidRPr="00BE6A97">
        <w:t>, </w:t>
      </w:r>
      <w:r w:rsidRPr="00BE6A97">
        <w:rPr>
          <w:i/>
          <w:iCs/>
        </w:rPr>
        <w:t>17</w:t>
      </w:r>
      <w:r w:rsidRPr="00BE6A97">
        <w:t>(3), 306-313.</w:t>
      </w:r>
    </w:p>
    <w:p w14:paraId="193CE03F" w14:textId="77777777" w:rsidR="007F3F3F" w:rsidRDefault="007F3F3F">
      <w:pPr>
        <w:rPr>
          <w:lang w:val="en-US"/>
        </w:rPr>
      </w:pPr>
    </w:p>
    <w:p w14:paraId="46353F8D" w14:textId="03D3D8F8" w:rsidR="0031784E" w:rsidRDefault="0031784E">
      <w:pPr>
        <w:rPr>
          <w:lang w:val="en-US"/>
        </w:rPr>
      </w:pPr>
    </w:p>
    <w:p w14:paraId="7925F70F" w14:textId="755B96DE" w:rsidR="00D43A35" w:rsidRPr="00C11F85" w:rsidRDefault="00D43A35">
      <w:pPr>
        <w:rPr>
          <w:lang w:val="en-US"/>
        </w:rPr>
      </w:pPr>
    </w:p>
    <w:sectPr w:rsidR="00D43A35" w:rsidRPr="00C11F85" w:rsidSect="00282F97">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0FCC30" w14:textId="77777777" w:rsidR="00B85C1E" w:rsidRDefault="00B85C1E">
      <w:pPr>
        <w:spacing w:after="0" w:line="240" w:lineRule="auto"/>
      </w:pPr>
      <w:r>
        <w:separator/>
      </w:r>
    </w:p>
  </w:endnote>
  <w:endnote w:type="continuationSeparator" w:id="0">
    <w:p w14:paraId="6291D125" w14:textId="77777777" w:rsidR="00B85C1E" w:rsidRDefault="00B85C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2AEECE" w14:textId="77777777" w:rsidR="00B85C1E" w:rsidRDefault="00B85C1E">
      <w:pPr>
        <w:spacing w:after="0" w:line="240" w:lineRule="auto"/>
      </w:pPr>
      <w:r>
        <w:separator/>
      </w:r>
    </w:p>
  </w:footnote>
  <w:footnote w:type="continuationSeparator" w:id="0">
    <w:p w14:paraId="0B9B0AD3" w14:textId="77777777" w:rsidR="00B85C1E" w:rsidRDefault="00B85C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E3397F" w14:textId="077FFC5E" w:rsidR="00282F97" w:rsidRDefault="009F0000">
    <w:pPr>
      <w:pStyle w:val="Header"/>
      <w:jc w:val="right"/>
    </w:pPr>
    <w:r w:rsidRPr="00282F97">
      <w:rPr>
        <w:lang w:val="en-US"/>
      </w:rPr>
      <w:t xml:space="preserve">VICARIOUS TRAUMA </w:t>
    </w:r>
    <w:r>
      <w:rPr>
        <w:lang w:val="en-US"/>
      </w:rPr>
      <w:t xml:space="preserve">                                                                                                     </w:t>
    </w:r>
    <w:sdt>
      <w:sdtPr>
        <w:id w:val="-204682593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410E28F8" w14:textId="77777777" w:rsidR="00282F97" w:rsidRDefault="00282F9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88F95B" w14:textId="7C8879D1" w:rsidR="00282F97" w:rsidRDefault="009F0000">
    <w:pPr>
      <w:pStyle w:val="Header"/>
      <w:jc w:val="right"/>
    </w:pPr>
    <w:r>
      <w:rPr>
        <w:lang w:val="en-US"/>
      </w:rPr>
      <w:t xml:space="preserve">Running head: VICARIOUS TRAUMA                                                                                 </w:t>
    </w:r>
    <w:sdt>
      <w:sdtPr>
        <w:id w:val="100477987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6DD88ECC" w14:textId="77777777" w:rsidR="00282F97" w:rsidRDefault="00282F9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AB4CC5"/>
    <w:multiLevelType w:val="multilevel"/>
    <w:tmpl w:val="BB5AE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LYwNzQwtTQ0MTM0NTBT0lEKTi0uzszPAykwrAUAXM+TiywAAAA="/>
  </w:docVars>
  <w:rsids>
    <w:rsidRoot w:val="00C11F85"/>
    <w:rsid w:val="000B7085"/>
    <w:rsid w:val="00271279"/>
    <w:rsid w:val="00282F97"/>
    <w:rsid w:val="0031784E"/>
    <w:rsid w:val="003A72A7"/>
    <w:rsid w:val="0049696A"/>
    <w:rsid w:val="005C3940"/>
    <w:rsid w:val="00780D1E"/>
    <w:rsid w:val="007F3F3F"/>
    <w:rsid w:val="00990684"/>
    <w:rsid w:val="009F0000"/>
    <w:rsid w:val="00B85C1E"/>
    <w:rsid w:val="00BE6A97"/>
    <w:rsid w:val="00C11F85"/>
    <w:rsid w:val="00CF248E"/>
    <w:rsid w:val="00D10DAD"/>
    <w:rsid w:val="00D43A35"/>
    <w:rsid w:val="00F302E8"/>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26B6D2E-6B2B-476B-A5F8-021D582A60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2F97"/>
    <w:pPr>
      <w:tabs>
        <w:tab w:val="center" w:pos="4513"/>
        <w:tab w:val="right" w:pos="9026"/>
      </w:tabs>
      <w:spacing w:after="0" w:line="240" w:lineRule="auto"/>
    </w:pPr>
  </w:style>
  <w:style w:type="character" w:customStyle="1" w:styleId="HeaderChar">
    <w:name w:val="Header Char"/>
    <w:basedOn w:val="DefaultParagraphFont"/>
    <w:link w:val="Header"/>
    <w:uiPriority w:val="99"/>
    <w:rsid w:val="00282F97"/>
  </w:style>
  <w:style w:type="paragraph" w:styleId="Footer">
    <w:name w:val="footer"/>
    <w:basedOn w:val="Normal"/>
    <w:link w:val="FooterChar"/>
    <w:uiPriority w:val="99"/>
    <w:unhideWhenUsed/>
    <w:rsid w:val="00282F97"/>
    <w:pPr>
      <w:tabs>
        <w:tab w:val="center" w:pos="4513"/>
        <w:tab w:val="right" w:pos="9026"/>
      </w:tabs>
      <w:spacing w:after="0" w:line="240" w:lineRule="auto"/>
    </w:pPr>
  </w:style>
  <w:style w:type="character" w:customStyle="1" w:styleId="FooterChar">
    <w:name w:val="Footer Char"/>
    <w:basedOn w:val="DefaultParagraphFont"/>
    <w:link w:val="Footer"/>
    <w:uiPriority w:val="99"/>
    <w:rsid w:val="00282F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748</Words>
  <Characters>4267</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2019-06-01T13:57:00Z</dcterms:created>
  <dcterms:modified xsi:type="dcterms:W3CDTF">2019-06-01T13:57:00Z</dcterms:modified>
</cp:coreProperties>
</file>